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Default="00A608CF" w:rsidP="005D3A2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671529">
        <w:rPr>
          <w:rFonts w:ascii="Times New Roman" w:hAnsi="Times New Roman"/>
          <w:b/>
          <w:color w:val="0D0D0D"/>
          <w:sz w:val="28"/>
          <w:szCs w:val="28"/>
        </w:rPr>
        <w:t xml:space="preserve">Thủ tục </w:t>
      </w:r>
      <w:r w:rsidR="00D800A8" w:rsidRPr="00D800A8">
        <w:rPr>
          <w:rFonts w:ascii="Times New Roman" w:hAnsi="Times New Roman"/>
          <w:b/>
          <w:color w:val="0D0D0D"/>
          <w:sz w:val="28"/>
          <w:szCs w:val="28"/>
        </w:rPr>
        <w:t>Đăng ký và cấp Giấy chứng nhận quyền sử dụng đất, quyền sở hữu nhà ở và tài sản khác gắn liền với đất lần đầu</w:t>
      </w:r>
      <w:r>
        <w:rPr>
          <w:rFonts w:ascii="Times New Roman" w:hAnsi="Times New Roman"/>
          <w:b/>
          <w:color w:val="0D0D0D"/>
          <w:sz w:val="28"/>
          <w:szCs w:val="28"/>
        </w:rPr>
        <w:t xml:space="preserve">. </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D800A8"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A8" w:rsidRPr="00D800A8" w:rsidRDefault="00D800A8" w:rsidP="00D800A8">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D800A8" w:rsidRPr="00D800A8" w:rsidRDefault="00D800A8" w:rsidP="00D800A8">
            <w:pPr>
              <w:spacing w:after="120" w:line="264"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1.011616</w:t>
            </w:r>
          </w:p>
        </w:tc>
        <w:tc>
          <w:tcPr>
            <w:tcW w:w="975"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after="120" w:line="264" w:lineRule="auto"/>
              <w:jc w:val="left"/>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Đăng ký và cấp Giấy chứng nhận quyền sử dụng đất, quyền sở hữu nhà ở và tài sản khác gắn liền với đất lần đầu</w:t>
            </w:r>
          </w:p>
        </w:tc>
        <w:tc>
          <w:tcPr>
            <w:tcW w:w="725"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after="120" w:line="264"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Không quá 30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after="120" w:line="264" w:lineRule="auto"/>
              <w:rPr>
                <w:rFonts w:ascii="Times New Roman" w:eastAsia="Times New Roman" w:hAnsi="Times New Roman"/>
                <w:color w:val="0D0D0D" w:themeColor="text1" w:themeTint="F2"/>
                <w:sz w:val="16"/>
                <w:szCs w:val="16"/>
              </w:rPr>
            </w:pPr>
            <w:r w:rsidRPr="00D800A8">
              <w:rPr>
                <w:rFonts w:ascii="Times New Roman" w:eastAsia="Times New Roman" w:hAnsi="Times New Roman"/>
                <w:i/>
                <w:color w:val="0D0D0D" w:themeColor="text1" w:themeTint="F2"/>
                <w:sz w:val="16"/>
                <w:szCs w:val="16"/>
              </w:rPr>
              <w:t>Nộp hồ sơ theo 03 hình thức:</w:t>
            </w:r>
            <w:r w:rsidRPr="00D800A8">
              <w:rPr>
                <w:rFonts w:ascii="Times New Roman" w:eastAsia="Times New Roman" w:hAnsi="Times New Roman"/>
                <w:color w:val="0D0D0D" w:themeColor="text1" w:themeTint="F2"/>
                <w:sz w:val="16"/>
                <w:szCs w:val="16"/>
              </w:rPr>
              <w:br/>
              <w:t>- Nộp trực tiếp:</w:t>
            </w:r>
            <w:r w:rsidRPr="00D800A8">
              <w:rPr>
                <w:rFonts w:ascii="Times New Roman" w:eastAsia="Times New Roman" w:hAnsi="Times New Roman"/>
                <w:color w:val="0D0D0D" w:themeColor="text1" w:themeTint="F2"/>
                <w:sz w:val="16"/>
                <w:szCs w:val="16"/>
              </w:rPr>
              <w:br/>
              <w:t>+ Đối với hồ sơ tổ chức: tại Trung tâm Phục vụ hành chính công tỉnh.</w:t>
            </w:r>
            <w:r w:rsidRPr="00D800A8">
              <w:rPr>
                <w:rFonts w:ascii="Times New Roman" w:eastAsia="Times New Roman" w:hAnsi="Times New Roman"/>
                <w:color w:val="0D0D0D" w:themeColor="text1" w:themeTint="F2"/>
                <w:sz w:val="16"/>
                <w:szCs w:val="16"/>
              </w:rPr>
              <w:br/>
              <w:t>+ Đối với hồ sơ hộ gia đình, cá nhân: Bộ phận Tiếp nhận và Trả kết quả thuộc UBND cấp huyện, xã.</w:t>
            </w:r>
            <w:r w:rsidRPr="00D800A8">
              <w:rPr>
                <w:rFonts w:ascii="Times New Roman" w:eastAsia="Times New Roman" w:hAnsi="Times New Roman"/>
                <w:color w:val="0D0D0D" w:themeColor="text1" w:themeTint="F2"/>
                <w:sz w:val="16"/>
                <w:szCs w:val="16"/>
              </w:rPr>
              <w:br/>
              <w:t>- Nộp trực tuyến qua cổng dịch vụ công của tỉnh tại địa chi: https://dichvucong.dongnai.gov.vn.</w:t>
            </w:r>
            <w:r w:rsidRPr="00D800A8">
              <w:rPr>
                <w:rFonts w:ascii="Times New Roman" w:eastAsia="Times New Roman" w:hAnsi="Times New Roman"/>
                <w:color w:val="0D0D0D" w:themeColor="text1" w:themeTint="F2"/>
                <w:sz w:val="16"/>
                <w:szCs w:val="16"/>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before="0" w:after="160" w:line="259"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0B050"/>
                <w:sz w:val="16"/>
                <w:szCs w:val="16"/>
              </w:rPr>
              <w:t>(1) UBND tỉnh cấp tỉnh</w:t>
            </w:r>
            <w:r w:rsidRPr="00D800A8">
              <w:rPr>
                <w:rFonts w:ascii="Times New Roman" w:eastAsia="Times New Roman" w:hAnsi="Times New Roman"/>
                <w:color w:val="00B050"/>
                <w:sz w:val="16"/>
                <w:szCs w:val="16"/>
              </w:rPr>
              <w:br/>
              <w:t xml:space="preserve">(2) UBND cấp huyện </w:t>
            </w:r>
          </w:p>
        </w:tc>
        <w:tc>
          <w:tcPr>
            <w:tcW w:w="2365"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rPr>
            </w:pPr>
            <w:r w:rsidRPr="00D800A8">
              <w:rPr>
                <w:rFonts w:ascii="Times New Roman" w:eastAsia="Times New Roman" w:hAnsi="Times New Roman"/>
                <w:b/>
                <w:color w:val="0D0D0D" w:themeColor="text1" w:themeTint="F2"/>
                <w:sz w:val="16"/>
                <w:szCs w:val="16"/>
              </w:rPr>
              <w:t>* Đối với hồ sơ tổ chức:</w:t>
            </w:r>
            <w:r w:rsidRPr="00D800A8">
              <w:rPr>
                <w:rFonts w:ascii="Times New Roman" w:eastAsia="Times New Roman" w:hAnsi="Times New Roman"/>
                <w:color w:val="0D0D0D" w:themeColor="text1" w:themeTint="F2"/>
                <w:sz w:val="16"/>
                <w:szCs w:val="16"/>
              </w:rPr>
              <w:br/>
              <w:t>+ Cấp giấy chứng nhận về quyền sử dụng đất: 1.000.000 đồng/hồ sơ/thửa/GCN;</w:t>
            </w:r>
            <w:r w:rsidRPr="00D800A8">
              <w:rPr>
                <w:rFonts w:ascii="Times New Roman" w:eastAsia="Times New Roman" w:hAnsi="Times New Roman"/>
                <w:color w:val="0D0D0D" w:themeColor="text1" w:themeTint="F2"/>
                <w:sz w:val="16"/>
                <w:szCs w:val="16"/>
              </w:rPr>
              <w:br/>
              <w:t>+ Cấp giấy chứng nhận về tài sản: 1.450.000 đồng/hồ sơ/thửa/GCN;</w:t>
            </w:r>
            <w:r w:rsidRPr="00D800A8">
              <w:rPr>
                <w:rFonts w:ascii="Times New Roman" w:eastAsia="Times New Roman" w:hAnsi="Times New Roman"/>
                <w:color w:val="0D0D0D" w:themeColor="text1" w:themeTint="F2"/>
                <w:sz w:val="16"/>
                <w:szCs w:val="16"/>
              </w:rPr>
              <w:br/>
              <w:t>+ Cấp giấy chứng nhận đối với cả đất và tài sản gắn liền với đất: 1.650.000 đồng/hồ sơ/thửa/GCN;</w:t>
            </w:r>
            <w:r w:rsidRPr="00D800A8">
              <w:rPr>
                <w:rFonts w:ascii="Times New Roman" w:eastAsia="Times New Roman" w:hAnsi="Times New Roman"/>
                <w:color w:val="0D0D0D" w:themeColor="text1" w:themeTint="F2"/>
                <w:sz w:val="16"/>
                <w:szCs w:val="16"/>
              </w:rPr>
              <w:br/>
              <w:t>Trường hợp tổ chức đề nghị cấp giấy chứng nhận đối với các dự án có nhiều thửa đất, giấy chứng nhận từ thửa thứ hai thu 40.000 đồng/giấy chứng nhận/thửa đất.</w:t>
            </w:r>
            <w:r w:rsidRPr="00D800A8">
              <w:rPr>
                <w:rFonts w:ascii="Times New Roman" w:eastAsia="Times New Roman" w:hAnsi="Times New Roman"/>
                <w:color w:val="0D0D0D" w:themeColor="text1" w:themeTint="F2"/>
                <w:sz w:val="16"/>
                <w:szCs w:val="16"/>
              </w:rPr>
              <w:br/>
            </w:r>
            <w:r w:rsidRPr="00D800A8">
              <w:rPr>
                <w:rFonts w:ascii="Times New Roman" w:eastAsia="Times New Roman" w:hAnsi="Times New Roman"/>
                <w:b/>
                <w:color w:val="0D0D0D" w:themeColor="text1" w:themeTint="F2"/>
                <w:sz w:val="16"/>
                <w:szCs w:val="16"/>
              </w:rPr>
              <w:t>* Đối với hồ sơ hộ gia đình, cá nhân:</w:t>
            </w:r>
            <w:r w:rsidRPr="00D800A8">
              <w:rPr>
                <w:rFonts w:ascii="Times New Roman" w:eastAsia="Times New Roman" w:hAnsi="Times New Roman"/>
                <w:color w:val="0D0D0D" w:themeColor="text1" w:themeTint="F2"/>
                <w:sz w:val="16"/>
                <w:szCs w:val="16"/>
              </w:rPr>
              <w:br/>
              <w:t>+ Cấp giấy chứng nhận về quyền sử dụng đất: 690.000 đồng/hồ sơ/thửa/GCN.</w:t>
            </w:r>
            <w:r w:rsidRPr="00D800A8">
              <w:rPr>
                <w:rFonts w:ascii="Times New Roman" w:eastAsia="Times New Roman" w:hAnsi="Times New Roman"/>
                <w:color w:val="0D0D0D" w:themeColor="text1" w:themeTint="F2"/>
                <w:sz w:val="16"/>
                <w:szCs w:val="16"/>
              </w:rPr>
              <w:br/>
              <w:t>+ Cấp giấy chứng nhận về tài sản: 770.000 đồng/hồ sơ/thửa/GCN.</w:t>
            </w:r>
            <w:r w:rsidRPr="00D800A8">
              <w:rPr>
                <w:rFonts w:ascii="Times New Roman" w:eastAsia="Times New Roman" w:hAnsi="Times New Roman"/>
                <w:color w:val="0D0D0D" w:themeColor="text1" w:themeTint="F2"/>
                <w:sz w:val="16"/>
                <w:szCs w:val="16"/>
              </w:rPr>
              <w:br/>
              <w:t>+ Cấp giấy chứng nhận đối với cả đất và tài sản gắn liền với đất: 980.000 đồng/hồ sơ/thửa/GCN.</w:t>
            </w:r>
            <w:r w:rsidRPr="00D800A8">
              <w:rPr>
                <w:rFonts w:ascii="Times New Roman" w:eastAsia="Times New Roman" w:hAnsi="Times New Roman"/>
                <w:color w:val="0D0D0D" w:themeColor="text1" w:themeTint="F2"/>
                <w:sz w:val="16"/>
                <w:szCs w:val="16"/>
              </w:rPr>
              <w:br/>
              <w:t>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rPr>
            </w:pPr>
            <w:r w:rsidRPr="00D800A8">
              <w:rPr>
                <w:rFonts w:ascii="Times New Roman" w:eastAsia="Times New Roman" w:hAnsi="Times New Roman"/>
                <w:b/>
                <w:color w:val="0D0D0D" w:themeColor="text1" w:themeTint="F2"/>
                <w:sz w:val="16"/>
                <w:szCs w:val="16"/>
              </w:rPr>
              <w:t>* Đối với hồ sơ tổ chức:</w:t>
            </w:r>
            <w:r w:rsidRPr="00D800A8">
              <w:rPr>
                <w:rFonts w:ascii="Times New Roman" w:eastAsia="Times New Roman" w:hAnsi="Times New Roman"/>
                <w:color w:val="0D0D0D" w:themeColor="text1" w:themeTint="F2"/>
                <w:sz w:val="16"/>
                <w:szCs w:val="16"/>
              </w:rPr>
              <w:br/>
              <w:t>+ Cấp giấy chứng nhận về quyền sử dụng đất: 950.000 đồng/hồ sơ/thửa/GCN;</w:t>
            </w:r>
            <w:r w:rsidRPr="00D800A8">
              <w:rPr>
                <w:rFonts w:ascii="Times New Roman" w:eastAsia="Times New Roman" w:hAnsi="Times New Roman"/>
                <w:color w:val="0D0D0D" w:themeColor="text1" w:themeTint="F2"/>
                <w:sz w:val="16"/>
                <w:szCs w:val="16"/>
              </w:rPr>
              <w:br/>
              <w:t>+ Cấp giấy chứng nhận về tài sản: 1.377.500 đồng/hồ sơ/thửa/GCN;</w:t>
            </w:r>
            <w:r w:rsidRPr="00D800A8">
              <w:rPr>
                <w:rFonts w:ascii="Times New Roman" w:eastAsia="Times New Roman" w:hAnsi="Times New Roman"/>
                <w:color w:val="0D0D0D" w:themeColor="text1" w:themeTint="F2"/>
                <w:sz w:val="16"/>
                <w:szCs w:val="16"/>
              </w:rPr>
              <w:br/>
              <w:t>+ Cấp giấy chứng nhận đối với cả đất và tài sản gắn liền với đất: 1.567.500 đồng/hồ sơ/thửa/GCN;</w:t>
            </w:r>
            <w:r w:rsidRPr="00D800A8">
              <w:rPr>
                <w:rFonts w:ascii="Times New Roman" w:eastAsia="Times New Roman" w:hAnsi="Times New Roman"/>
                <w:color w:val="0D0D0D" w:themeColor="text1" w:themeTint="F2"/>
                <w:sz w:val="16"/>
                <w:szCs w:val="16"/>
              </w:rPr>
              <w:br/>
              <w:t>Trường hợp tổ chức đề nghị cấp giấy chứng nhận đối với các dự án có nhiều thửa đất, giấy chứng nhận từ thửa thứ hai thu 38.000 đồng/giấy chứng nhận/thửa đất.</w:t>
            </w:r>
            <w:r w:rsidRPr="00D800A8">
              <w:rPr>
                <w:rFonts w:ascii="Times New Roman" w:eastAsia="Times New Roman" w:hAnsi="Times New Roman"/>
                <w:color w:val="0D0D0D" w:themeColor="text1" w:themeTint="F2"/>
                <w:sz w:val="16"/>
                <w:szCs w:val="16"/>
              </w:rPr>
              <w:br/>
            </w:r>
            <w:r w:rsidRPr="00D800A8">
              <w:rPr>
                <w:rFonts w:ascii="Times New Roman" w:eastAsia="Times New Roman" w:hAnsi="Times New Roman"/>
                <w:b/>
                <w:color w:val="0D0D0D" w:themeColor="text1" w:themeTint="F2"/>
                <w:sz w:val="16"/>
                <w:szCs w:val="16"/>
              </w:rPr>
              <w:t>* Đối với hồ sơ hộ gia đình, cá nhân:</w:t>
            </w:r>
            <w:r w:rsidRPr="00D800A8">
              <w:rPr>
                <w:rFonts w:ascii="Times New Roman" w:eastAsia="Times New Roman" w:hAnsi="Times New Roman"/>
                <w:color w:val="0D0D0D" w:themeColor="text1" w:themeTint="F2"/>
                <w:sz w:val="16"/>
                <w:szCs w:val="16"/>
              </w:rPr>
              <w:br/>
              <w:t>+ Cấp giấy chứng nhận về quyền sử dụng đất: 655.500 đồng/hồ sơ/thửa/GCN.</w:t>
            </w:r>
            <w:r w:rsidRPr="00D800A8">
              <w:rPr>
                <w:rFonts w:ascii="Times New Roman" w:eastAsia="Times New Roman" w:hAnsi="Times New Roman"/>
                <w:color w:val="0D0D0D" w:themeColor="text1" w:themeTint="F2"/>
                <w:sz w:val="16"/>
                <w:szCs w:val="16"/>
              </w:rPr>
              <w:br/>
              <w:t>+ Cấp giấy chứng nhận về tài sản: 731.500 đồng/hồ sơ/thửa/GCN.</w:t>
            </w:r>
            <w:r w:rsidRPr="00D800A8">
              <w:rPr>
                <w:rFonts w:ascii="Times New Roman" w:eastAsia="Times New Roman" w:hAnsi="Times New Roman"/>
                <w:color w:val="0D0D0D" w:themeColor="text1" w:themeTint="F2"/>
                <w:sz w:val="16"/>
                <w:szCs w:val="16"/>
              </w:rPr>
              <w:br/>
              <w:t>+ Cấp giấy chứng nhận đối với cả đất và tài sản gắn liền với đất: 931.000 đồng/hồ sơ/thửa/GCN.</w:t>
            </w:r>
            <w:r w:rsidRPr="00D800A8">
              <w:rPr>
                <w:rFonts w:ascii="Times New Roman" w:eastAsia="Times New Roman" w:hAnsi="Times New Roman"/>
                <w:color w:val="0D0D0D" w:themeColor="text1" w:themeTint="F2"/>
                <w:sz w:val="16"/>
                <w:szCs w:val="16"/>
              </w:rPr>
              <w:br/>
              <w:t>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rPr>
            </w:pPr>
            <w:r w:rsidRPr="00D800A8">
              <w:rPr>
                <w:rFonts w:ascii="Times New Roman" w:eastAsia="Times New Roman" w:hAnsi="Times New Roman"/>
                <w:b/>
                <w:color w:val="0D0D0D" w:themeColor="text1" w:themeTint="F2"/>
                <w:sz w:val="16"/>
                <w:szCs w:val="16"/>
              </w:rPr>
              <w:t>* Đối với hồ sơ tổ chức:</w:t>
            </w:r>
            <w:r w:rsidRPr="00D800A8">
              <w:rPr>
                <w:rFonts w:ascii="Times New Roman" w:eastAsia="Times New Roman" w:hAnsi="Times New Roman"/>
                <w:color w:val="0D0D0D" w:themeColor="text1" w:themeTint="F2"/>
                <w:sz w:val="16"/>
                <w:szCs w:val="16"/>
              </w:rPr>
              <w:br/>
              <w:t>- Cấp giấy chứng nhận về quyền sử dụng đất: 100.000 đồng/hồ sơ/thửa/GCN.</w:t>
            </w:r>
            <w:r w:rsidRPr="00D800A8">
              <w:rPr>
                <w:rFonts w:ascii="Times New Roman" w:eastAsia="Times New Roman" w:hAnsi="Times New Roman"/>
                <w:color w:val="0D0D0D" w:themeColor="text1" w:themeTint="F2"/>
                <w:sz w:val="16"/>
                <w:szCs w:val="16"/>
              </w:rPr>
              <w:br/>
              <w:t>- Cấp giấy chứng nhận về tài sản: 500.000 đồng/hồ sơ/thửa/GCN.</w:t>
            </w:r>
            <w:r w:rsidRPr="00D800A8">
              <w:rPr>
                <w:rFonts w:ascii="Times New Roman" w:eastAsia="Times New Roman" w:hAnsi="Times New Roman"/>
                <w:color w:val="0D0D0D" w:themeColor="text1" w:themeTint="F2"/>
                <w:sz w:val="16"/>
                <w:szCs w:val="16"/>
              </w:rPr>
              <w:br/>
            </w:r>
            <w:r w:rsidRPr="00D800A8">
              <w:rPr>
                <w:rFonts w:ascii="Times New Roman" w:eastAsia="Times New Roman" w:hAnsi="Times New Roman"/>
                <w:b/>
                <w:color w:val="0D0D0D" w:themeColor="text1" w:themeTint="F2"/>
                <w:sz w:val="16"/>
                <w:szCs w:val="16"/>
              </w:rPr>
              <w:t>* Đối với hồ sơ hộ gia đình, cá nhân:</w:t>
            </w:r>
            <w:r w:rsidRPr="00D800A8">
              <w:rPr>
                <w:rFonts w:ascii="Times New Roman" w:eastAsia="Times New Roman" w:hAnsi="Times New Roman"/>
                <w:color w:val="0D0D0D" w:themeColor="text1" w:themeTint="F2"/>
                <w:sz w:val="16"/>
                <w:szCs w:val="16"/>
              </w:rPr>
              <w:br/>
              <w:t>- Trường hợp đất thuộc các phường thành phố Long Khánh và thành phố Biên Hòa: 25.000 đồng/giấy (chỉ có quyền sử dụng đất); 100.000 đồng/giấy (trường hợp có tài sản gắn liền với đất).</w:t>
            </w:r>
            <w:r w:rsidRPr="00D800A8">
              <w:rPr>
                <w:rFonts w:ascii="Times New Roman" w:eastAsia="Times New Roman" w:hAnsi="Times New Roman"/>
                <w:color w:val="0D0D0D" w:themeColor="text1" w:themeTint="F2"/>
                <w:sz w:val="16"/>
                <w:szCs w:val="16"/>
              </w:rPr>
              <w:br/>
              <w:t>- Trường hợp đất thuộc các xã, thị trấn các huyện; các xã thuộc thành phố Long Khánh và thành phố Biên Hòa: 12.500 đồng/giấy (chỉ có quyền sử dụng đất); 50.000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D800A8" w:rsidRPr="00D800A8" w:rsidRDefault="00D800A8" w:rsidP="00D800A8">
            <w:pPr>
              <w:spacing w:after="120" w:line="264"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D800A8" w:rsidRPr="00D800A8" w:rsidRDefault="00D800A8" w:rsidP="00D800A8">
            <w:pPr>
              <w:spacing w:before="0" w:after="0" w:line="240" w:lineRule="auto"/>
              <w:jc w:val="left"/>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w:t>
            </w:r>
            <w:r w:rsidRPr="00D800A8">
              <w:rPr>
                <w:rFonts w:ascii="Times New Roman" w:eastAsia="Times New Roman" w:hAnsi="Times New Roman"/>
                <w:color w:val="0D0D0D" w:themeColor="text1" w:themeTint="F2"/>
                <w:sz w:val="16"/>
                <w:szCs w:val="16"/>
                <w:lang w:val="vi-VN"/>
              </w:rPr>
              <w:t xml:space="preserve"> Luật Đất đai năm 2013;</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w:t>
            </w:r>
            <w:r w:rsidRPr="00D800A8">
              <w:rPr>
                <w:rFonts w:ascii="Times New Roman" w:eastAsia="Times New Roman" w:hAnsi="Times New Roman"/>
                <w:color w:val="0D0D0D" w:themeColor="text1" w:themeTint="F2"/>
                <w:sz w:val="16"/>
                <w:szCs w:val="16"/>
                <w:lang w:val="vi-VN"/>
              </w:rPr>
              <w:t xml:space="preserve"> Nghị định số 43/2014/NĐ-CP ngày 15/5/2014;</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w:t>
            </w:r>
            <w:r w:rsidRPr="00D800A8">
              <w:rPr>
                <w:rFonts w:ascii="Times New Roman" w:eastAsia="Times New Roman" w:hAnsi="Times New Roman"/>
                <w:color w:val="0D0D0D" w:themeColor="text1" w:themeTint="F2"/>
                <w:sz w:val="16"/>
                <w:szCs w:val="16"/>
                <w:lang w:val="vi-VN"/>
              </w:rPr>
              <w:t xml:space="preserve"> Nghị định số 01/2017/NĐ-CP ngày 06/01/2017</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 xml:space="preserve">- </w:t>
            </w:r>
            <w:r w:rsidRPr="00D800A8">
              <w:rPr>
                <w:rFonts w:ascii="Times New Roman" w:eastAsia="Times New Roman" w:hAnsi="Times New Roman"/>
                <w:color w:val="0D0D0D" w:themeColor="text1" w:themeTint="F2"/>
                <w:sz w:val="16"/>
                <w:szCs w:val="16"/>
                <w:lang w:val="vi-VN"/>
              </w:rPr>
              <w:t>Nghị định số 148/2020/NĐ-CP ngày 18/12/2020;</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 xml:space="preserve">- </w:t>
            </w:r>
            <w:r w:rsidRPr="00D800A8">
              <w:rPr>
                <w:rFonts w:ascii="Times New Roman" w:eastAsia="Times New Roman" w:hAnsi="Times New Roman"/>
                <w:color w:val="0D0D0D" w:themeColor="text1" w:themeTint="F2"/>
                <w:sz w:val="16"/>
                <w:szCs w:val="16"/>
                <w:lang w:val="vi-VN"/>
              </w:rPr>
              <w:t>Nghị định số 10/2023/NĐ-CP ngày 03/4/2023;</w:t>
            </w:r>
            <w:r w:rsidRPr="00D800A8">
              <w:rPr>
                <w:rFonts w:ascii="Times New Roman" w:eastAsia="Times New Roman" w:hAnsi="Times New Roman"/>
                <w:color w:val="0D0D0D" w:themeColor="text1" w:themeTint="F2"/>
                <w:sz w:val="16"/>
                <w:szCs w:val="16"/>
              </w:rPr>
              <w:t xml:space="preserve"> </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 xml:space="preserve">- </w:t>
            </w:r>
            <w:r w:rsidRPr="00D800A8">
              <w:rPr>
                <w:rFonts w:ascii="Times New Roman" w:eastAsia="Times New Roman" w:hAnsi="Times New Roman"/>
                <w:color w:val="0D0D0D" w:themeColor="text1" w:themeTint="F2"/>
                <w:sz w:val="16"/>
                <w:szCs w:val="16"/>
                <w:lang w:val="vi-VN"/>
              </w:rPr>
              <w:t xml:space="preserve">Thông tư số 85/2019/TT-BTC ngày 29/11/2019 </w:t>
            </w:r>
            <w:r w:rsidRPr="00D800A8">
              <w:rPr>
                <w:rFonts w:ascii="Times New Roman" w:eastAsia="Times New Roman" w:hAnsi="Times New Roman"/>
                <w:i/>
                <w:iCs/>
                <w:color w:val="0D0D0D" w:themeColor="text1" w:themeTint="F2"/>
                <w:sz w:val="16"/>
                <w:szCs w:val="16"/>
                <w:lang w:val="vi-VN"/>
              </w:rPr>
              <w:t>(sửa đổi bổ sung tại Thông tư 106/2021/TT-BTC ngày 26/11/2021)</w:t>
            </w:r>
            <w:r w:rsidRPr="00D800A8">
              <w:rPr>
                <w:rFonts w:ascii="Times New Roman" w:eastAsia="Times New Roman" w:hAnsi="Times New Roman"/>
                <w:color w:val="0D0D0D" w:themeColor="text1" w:themeTint="F2"/>
                <w:sz w:val="16"/>
                <w:szCs w:val="16"/>
                <w:lang w:val="vi-VN"/>
              </w:rPr>
              <w:t>;</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w:t>
            </w:r>
            <w:r w:rsidRPr="00D800A8">
              <w:rPr>
                <w:rFonts w:ascii="Times New Roman" w:eastAsia="Times New Roman" w:hAnsi="Times New Roman"/>
                <w:color w:val="0D0D0D" w:themeColor="text1" w:themeTint="F2"/>
                <w:sz w:val="16"/>
                <w:szCs w:val="16"/>
                <w:lang w:val="vi-VN"/>
              </w:rPr>
              <w:t xml:space="preserve"> Thông tư số 23/2014/TT-BTNMT ngày 19/5/2014;</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 xml:space="preserve"> - </w:t>
            </w:r>
            <w:r w:rsidRPr="00D800A8">
              <w:rPr>
                <w:rFonts w:ascii="Times New Roman" w:eastAsia="Times New Roman" w:hAnsi="Times New Roman"/>
                <w:color w:val="0D0D0D" w:themeColor="text1" w:themeTint="F2"/>
                <w:sz w:val="16"/>
                <w:szCs w:val="16"/>
                <w:lang w:val="vi-VN"/>
              </w:rPr>
              <w:t>Thông tư số 24/2014/TT-BTNMT ngày 19/5/2014;</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w:t>
            </w:r>
            <w:r w:rsidRPr="00D800A8">
              <w:rPr>
                <w:rFonts w:ascii="Times New Roman" w:eastAsia="Times New Roman" w:hAnsi="Times New Roman"/>
                <w:color w:val="0D0D0D" w:themeColor="text1" w:themeTint="F2"/>
                <w:sz w:val="16"/>
                <w:szCs w:val="16"/>
                <w:lang w:val="vi-VN"/>
              </w:rPr>
              <w:t xml:space="preserve"> Thông tư số 02/2015/TT-BTNMT ngày 27/01/2015;</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lang w:val="vi-VN"/>
              </w:rPr>
            </w:pPr>
            <w:r w:rsidRPr="00D800A8">
              <w:rPr>
                <w:rFonts w:ascii="Times New Roman" w:eastAsia="Times New Roman" w:hAnsi="Times New Roman"/>
                <w:color w:val="0D0D0D" w:themeColor="text1" w:themeTint="F2"/>
                <w:sz w:val="16"/>
                <w:szCs w:val="16"/>
              </w:rPr>
              <w:t xml:space="preserve">- </w:t>
            </w:r>
            <w:r w:rsidRPr="00D800A8">
              <w:rPr>
                <w:rFonts w:ascii="Times New Roman" w:eastAsia="Times New Roman" w:hAnsi="Times New Roman"/>
                <w:color w:val="0D0D0D" w:themeColor="text1" w:themeTint="F2"/>
                <w:sz w:val="16"/>
                <w:szCs w:val="16"/>
                <w:lang w:val="vi-VN"/>
              </w:rPr>
              <w:t>Thông tư số 33/2017/TT- BTNMT ngày 29/9/2017;</w:t>
            </w:r>
          </w:p>
          <w:p w:rsidR="00D800A8" w:rsidRPr="00D800A8" w:rsidRDefault="00D800A8" w:rsidP="00D800A8">
            <w:pPr>
              <w:spacing w:before="0" w:after="0" w:line="240" w:lineRule="auto"/>
              <w:rPr>
                <w:rFonts w:ascii="Times New Roman" w:eastAsia="Times New Roman" w:hAnsi="Times New Roman"/>
                <w:color w:val="0D0D0D" w:themeColor="text1" w:themeTint="F2"/>
                <w:sz w:val="16"/>
                <w:szCs w:val="16"/>
              </w:rPr>
            </w:pPr>
            <w:r w:rsidRPr="00D800A8">
              <w:rPr>
                <w:rFonts w:ascii="Times New Roman" w:eastAsia="Times New Roman" w:hAnsi="Times New Roman"/>
                <w:i/>
                <w:color w:val="0D0D0D" w:themeColor="text1" w:themeTint="F2"/>
                <w:sz w:val="16"/>
                <w:szCs w:val="16"/>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800A8" w:rsidRPr="00D800A8" w:rsidRDefault="00D800A8" w:rsidP="00D800A8">
            <w:pPr>
              <w:spacing w:after="120" w:line="264" w:lineRule="auto"/>
              <w:jc w:val="left"/>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B23B21" w:rsidRDefault="00006641" w:rsidP="00A608CF">
      <w:pPr>
        <w:jc w:val="left"/>
      </w:pPr>
      <w:hyperlink r:id="rId7" w:history="1">
        <w:r w:rsidRPr="00A674D3">
          <w:rPr>
            <w:rStyle w:val="Hyperlink"/>
          </w:rPr>
          <w:t>https://dichvucong.gov.vn/p/home/dvc-chi-tiet-thu-tuc-hanh-chinh.html?ma_thu_tuc=1.011616</w:t>
        </w:r>
      </w:hyperlink>
    </w:p>
    <w:p w:rsidR="00006641" w:rsidRDefault="00006641" w:rsidP="00A608CF">
      <w:pPr>
        <w:jc w:val="left"/>
        <w:rPr>
          <w:rFonts w:ascii="Times New Roman" w:hAnsi="Times New Roman"/>
        </w:rPr>
      </w:pPr>
      <w:bookmarkStart w:id="0" w:name="_GoBack"/>
      <w:bookmarkEnd w:id="0"/>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61" w:rsidRDefault="00624D61" w:rsidP="00671529">
      <w:pPr>
        <w:spacing w:before="0" w:after="0" w:line="240" w:lineRule="auto"/>
      </w:pPr>
      <w:r>
        <w:separator/>
      </w:r>
    </w:p>
  </w:endnote>
  <w:endnote w:type="continuationSeparator" w:id="0">
    <w:p w:rsidR="00624D61" w:rsidRDefault="00624D61"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61" w:rsidRDefault="00624D61" w:rsidP="00671529">
      <w:pPr>
        <w:spacing w:before="0" w:after="0" w:line="240" w:lineRule="auto"/>
      </w:pPr>
      <w:r>
        <w:separator/>
      </w:r>
    </w:p>
  </w:footnote>
  <w:footnote w:type="continuationSeparator" w:id="0">
    <w:p w:rsidR="00624D61" w:rsidRDefault="00624D61"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006641"/>
    <w:rsid w:val="00304345"/>
    <w:rsid w:val="00582CEB"/>
    <w:rsid w:val="005D3A28"/>
    <w:rsid w:val="00624D61"/>
    <w:rsid w:val="00655EC9"/>
    <w:rsid w:val="00671529"/>
    <w:rsid w:val="006F593E"/>
    <w:rsid w:val="007C2760"/>
    <w:rsid w:val="00852FFD"/>
    <w:rsid w:val="008719A5"/>
    <w:rsid w:val="00A608CF"/>
    <w:rsid w:val="00AE56C7"/>
    <w:rsid w:val="00B23B21"/>
    <w:rsid w:val="00BA274F"/>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 w:type="character" w:styleId="FollowedHyperlink">
    <w:name w:val="FollowedHyperlink"/>
    <w:basedOn w:val="DefaultParagraphFont"/>
    <w:uiPriority w:val="99"/>
    <w:semiHidden/>
    <w:unhideWhenUsed/>
    <w:rsid w:val="00006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24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chi-tiet-thu-tuc-hanh-chinh.html?ma_thu_tuc=1.011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A17A-9591-46A1-BBA0-EA6A6383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2024-03-20T02:17:00Z</dcterms:modified>
</cp:coreProperties>
</file>